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3FD" w:rsidRPr="000D0F1F" w:rsidRDefault="00B703FD" w:rsidP="000D0F1F">
      <w:pPr>
        <w:spacing w:after="0" w:line="480" w:lineRule="auto"/>
        <w:jc w:val="center"/>
        <w:rPr>
          <w:bCs/>
          <w:iCs/>
          <w:szCs w:val="24"/>
          <w:shd w:val="clear" w:color="auto" w:fill="FFFFFF"/>
        </w:rPr>
      </w:pPr>
    </w:p>
    <w:p w:rsidR="00B703FD" w:rsidRPr="000D0F1F" w:rsidRDefault="00B703FD"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D37721" w:rsidRPr="000D0F1F" w:rsidRDefault="00D37721" w:rsidP="000D0F1F">
      <w:pPr>
        <w:spacing w:after="0" w:line="480" w:lineRule="auto"/>
        <w:jc w:val="center"/>
        <w:rPr>
          <w:bCs/>
          <w:iCs/>
          <w:szCs w:val="24"/>
          <w:shd w:val="clear" w:color="auto" w:fill="FFFFFF"/>
        </w:rPr>
      </w:pPr>
    </w:p>
    <w:p w:rsidR="00B703FD" w:rsidRPr="000D0F1F" w:rsidRDefault="00EA16DD" w:rsidP="000D0F1F">
      <w:pPr>
        <w:spacing w:after="0" w:line="480" w:lineRule="auto"/>
        <w:jc w:val="center"/>
        <w:rPr>
          <w:b/>
          <w:szCs w:val="24"/>
        </w:rPr>
      </w:pPr>
      <w:r w:rsidRPr="000D0F1F">
        <w:rPr>
          <w:bCs/>
          <w:iCs/>
          <w:szCs w:val="24"/>
          <w:shd w:val="clear" w:color="auto" w:fill="FFFFFF"/>
        </w:rPr>
        <w:t>Plyler v. Doe</w:t>
      </w:r>
    </w:p>
    <w:p w:rsidR="00B703FD" w:rsidRPr="000D0F1F" w:rsidRDefault="00EA16DD" w:rsidP="000D0F1F">
      <w:pPr>
        <w:spacing w:after="0" w:line="480" w:lineRule="auto"/>
        <w:jc w:val="center"/>
        <w:rPr>
          <w:bCs/>
          <w:iCs/>
          <w:szCs w:val="24"/>
          <w:shd w:val="clear" w:color="auto" w:fill="FFFFFF"/>
        </w:rPr>
      </w:pPr>
      <w:r w:rsidRPr="000D0F1F">
        <w:rPr>
          <w:bCs/>
          <w:iCs/>
          <w:szCs w:val="24"/>
          <w:shd w:val="clear" w:color="auto" w:fill="FFFFFF"/>
        </w:rPr>
        <w:t xml:space="preserve">Name </w:t>
      </w:r>
    </w:p>
    <w:p w:rsidR="00B703FD" w:rsidRPr="000D0F1F" w:rsidRDefault="00EA16DD" w:rsidP="000D0F1F">
      <w:pPr>
        <w:spacing w:after="0" w:line="480" w:lineRule="auto"/>
        <w:jc w:val="center"/>
        <w:rPr>
          <w:bCs/>
          <w:iCs/>
          <w:szCs w:val="24"/>
          <w:shd w:val="clear" w:color="auto" w:fill="FFFFFF"/>
        </w:rPr>
      </w:pPr>
      <w:r w:rsidRPr="000D0F1F">
        <w:rPr>
          <w:bCs/>
          <w:iCs/>
          <w:szCs w:val="24"/>
          <w:shd w:val="clear" w:color="auto" w:fill="FFFFFF"/>
        </w:rPr>
        <w:t xml:space="preserve">Institution </w:t>
      </w:r>
    </w:p>
    <w:p w:rsidR="00B703FD" w:rsidRPr="000D0F1F" w:rsidRDefault="00EA16DD" w:rsidP="000D0F1F">
      <w:pPr>
        <w:spacing w:after="0" w:line="480" w:lineRule="auto"/>
        <w:jc w:val="center"/>
        <w:rPr>
          <w:bCs/>
          <w:iCs/>
          <w:szCs w:val="24"/>
          <w:shd w:val="clear" w:color="auto" w:fill="FFFFFF"/>
        </w:rPr>
      </w:pPr>
      <w:r w:rsidRPr="000D0F1F">
        <w:rPr>
          <w:bCs/>
          <w:iCs/>
          <w:szCs w:val="24"/>
          <w:shd w:val="clear" w:color="auto" w:fill="FFFFFF"/>
        </w:rPr>
        <w:t xml:space="preserve">Date </w:t>
      </w:r>
    </w:p>
    <w:p w:rsidR="00D37721" w:rsidRPr="000D0F1F" w:rsidRDefault="00D37721" w:rsidP="000D0F1F">
      <w:pPr>
        <w:spacing w:after="0" w:line="480" w:lineRule="auto"/>
        <w:jc w:val="center"/>
        <w:rPr>
          <w:bCs/>
          <w:iCs/>
          <w:szCs w:val="24"/>
          <w:shd w:val="clear" w:color="auto" w:fill="FFFFFF"/>
        </w:rPr>
      </w:pPr>
      <w:bookmarkStart w:id="0" w:name="_GoBack"/>
      <w:bookmarkEnd w:id="0"/>
    </w:p>
    <w:p w:rsidR="000D0F1F" w:rsidRDefault="000D0F1F" w:rsidP="000D0F1F">
      <w:pPr>
        <w:spacing w:after="0" w:line="480" w:lineRule="auto"/>
        <w:jc w:val="center"/>
        <w:rPr>
          <w:bCs/>
          <w:iCs/>
          <w:szCs w:val="24"/>
          <w:shd w:val="clear" w:color="auto" w:fill="FFFFFF"/>
        </w:rPr>
      </w:pPr>
    </w:p>
    <w:p w:rsidR="000D0F1F" w:rsidRDefault="000D0F1F" w:rsidP="000D0F1F">
      <w:pPr>
        <w:spacing w:after="0" w:line="480" w:lineRule="auto"/>
        <w:jc w:val="center"/>
        <w:rPr>
          <w:bCs/>
          <w:iCs/>
          <w:szCs w:val="24"/>
          <w:shd w:val="clear" w:color="auto" w:fill="FFFFFF"/>
        </w:rPr>
      </w:pPr>
    </w:p>
    <w:p w:rsidR="000D0F1F" w:rsidRDefault="000D0F1F" w:rsidP="000D0F1F">
      <w:pPr>
        <w:spacing w:after="0" w:line="480" w:lineRule="auto"/>
        <w:jc w:val="center"/>
        <w:rPr>
          <w:bCs/>
          <w:iCs/>
          <w:szCs w:val="24"/>
          <w:shd w:val="clear" w:color="auto" w:fill="FFFFFF"/>
        </w:rPr>
      </w:pPr>
    </w:p>
    <w:p w:rsidR="000D0F1F" w:rsidRDefault="000D0F1F" w:rsidP="000D0F1F">
      <w:pPr>
        <w:spacing w:after="0" w:line="480" w:lineRule="auto"/>
        <w:jc w:val="center"/>
        <w:rPr>
          <w:bCs/>
          <w:iCs/>
          <w:szCs w:val="24"/>
          <w:shd w:val="clear" w:color="auto" w:fill="FFFFFF"/>
        </w:rPr>
      </w:pPr>
    </w:p>
    <w:p w:rsidR="000D0F1F" w:rsidRDefault="000D0F1F" w:rsidP="000D0F1F">
      <w:pPr>
        <w:spacing w:after="0" w:line="480" w:lineRule="auto"/>
        <w:jc w:val="center"/>
        <w:rPr>
          <w:bCs/>
          <w:iCs/>
          <w:szCs w:val="24"/>
          <w:shd w:val="clear" w:color="auto" w:fill="FFFFFF"/>
        </w:rPr>
      </w:pPr>
    </w:p>
    <w:p w:rsidR="00250012" w:rsidRPr="000D0F1F" w:rsidRDefault="00EA16DD" w:rsidP="000D0F1F">
      <w:pPr>
        <w:spacing w:after="0" w:line="480" w:lineRule="auto"/>
        <w:jc w:val="center"/>
        <w:rPr>
          <w:b/>
          <w:szCs w:val="24"/>
        </w:rPr>
      </w:pPr>
      <w:r w:rsidRPr="000D0F1F">
        <w:rPr>
          <w:bCs/>
          <w:iCs/>
          <w:szCs w:val="24"/>
          <w:shd w:val="clear" w:color="auto" w:fill="FFFFFF"/>
        </w:rPr>
        <w:lastRenderedPageBreak/>
        <w:t>Plyler v. Doe</w:t>
      </w:r>
    </w:p>
    <w:p w:rsidR="00DC4B46" w:rsidRPr="000D0F1F" w:rsidRDefault="00EA16DD" w:rsidP="000D0F1F">
      <w:pPr>
        <w:spacing w:after="0" w:line="480" w:lineRule="auto"/>
        <w:ind w:firstLine="720"/>
        <w:rPr>
          <w:szCs w:val="24"/>
        </w:rPr>
      </w:pPr>
      <w:r w:rsidRPr="000D0F1F">
        <w:rPr>
          <w:szCs w:val="24"/>
        </w:rPr>
        <w:t>The case “</w:t>
      </w:r>
      <w:r w:rsidRPr="000D0F1F">
        <w:rPr>
          <w:bCs/>
          <w:i/>
          <w:iCs/>
          <w:szCs w:val="24"/>
          <w:shd w:val="clear" w:color="auto" w:fill="FFFFFF"/>
        </w:rPr>
        <w:t>Plyler v. Doe</w:t>
      </w:r>
      <w:r w:rsidRPr="000D0F1F">
        <w:rPr>
          <w:bCs/>
          <w:i/>
          <w:iCs/>
          <w:szCs w:val="24"/>
          <w:shd w:val="clear" w:color="auto" w:fill="FFFFFF"/>
        </w:rPr>
        <w:t>”</w:t>
      </w:r>
      <w:r w:rsidRPr="000D0F1F">
        <w:rPr>
          <w:bCs/>
          <w:iCs/>
          <w:szCs w:val="24"/>
          <w:shd w:val="clear" w:color="auto" w:fill="FFFFFF"/>
        </w:rPr>
        <w:t>of 1982</w:t>
      </w:r>
      <w:r w:rsidRPr="000D0F1F">
        <w:rPr>
          <w:bCs/>
          <w:iCs/>
          <w:szCs w:val="24"/>
          <w:shd w:val="clear" w:color="auto" w:fill="FFFFFF"/>
        </w:rPr>
        <w:t xml:space="preserve"> was induced by the government's reforms </w:t>
      </w:r>
      <w:r w:rsidR="00584213" w:rsidRPr="000D0F1F">
        <w:rPr>
          <w:bCs/>
          <w:iCs/>
          <w:szCs w:val="24"/>
          <w:shd w:val="clear" w:color="auto" w:fill="FFFFFF"/>
        </w:rPr>
        <w:t>on the provision o</w:t>
      </w:r>
      <w:r w:rsidRPr="000D0F1F">
        <w:rPr>
          <w:bCs/>
          <w:iCs/>
          <w:szCs w:val="24"/>
          <w:shd w:val="clear" w:color="auto" w:fill="FFFFFF"/>
        </w:rPr>
        <w:t xml:space="preserve">f education services to children who migrated to United America. The state confirmed </w:t>
      </w:r>
      <w:r w:rsidR="00584213" w:rsidRPr="000D0F1F">
        <w:rPr>
          <w:bCs/>
          <w:iCs/>
          <w:szCs w:val="24"/>
          <w:shd w:val="clear" w:color="auto" w:fill="FFFFFF"/>
        </w:rPr>
        <w:t xml:space="preserve">that </w:t>
      </w:r>
      <w:r w:rsidRPr="000D0F1F">
        <w:rPr>
          <w:bCs/>
          <w:iCs/>
          <w:szCs w:val="24"/>
          <w:shd w:val="clear" w:color="auto" w:fill="FFFFFF"/>
        </w:rPr>
        <w:t>those</w:t>
      </w:r>
      <w:r w:rsidR="00F242F5" w:rsidRPr="000D0F1F">
        <w:rPr>
          <w:bCs/>
          <w:iCs/>
          <w:szCs w:val="24"/>
          <w:shd w:val="clear" w:color="auto" w:fill="FFFFFF"/>
        </w:rPr>
        <w:t xml:space="preserve"> juvenile</w:t>
      </w:r>
      <w:r w:rsidRPr="000D0F1F">
        <w:rPr>
          <w:bCs/>
          <w:iCs/>
          <w:szCs w:val="24"/>
          <w:shd w:val="clear" w:color="auto" w:fill="FFFFFF"/>
        </w:rPr>
        <w:t>s who illegally emigrated to the</w:t>
      </w:r>
      <w:r w:rsidR="00F242F5" w:rsidRPr="000D0F1F">
        <w:rPr>
          <w:bCs/>
          <w:iCs/>
          <w:szCs w:val="24"/>
          <w:shd w:val="clear" w:color="auto" w:fill="FFFFFF"/>
        </w:rPr>
        <w:t xml:space="preserve"> U.S. were to be denied access to education services from municipal schools. Alternatively, they were asked to pay $1,000 to cater to the loss of state funding. As a resul</w:t>
      </w:r>
      <w:r w:rsidR="007C11D6" w:rsidRPr="000D0F1F">
        <w:rPr>
          <w:bCs/>
          <w:iCs/>
          <w:szCs w:val="24"/>
          <w:shd w:val="clear" w:color="auto" w:fill="FFFFFF"/>
        </w:rPr>
        <w:t>t, the court came with a view of</w:t>
      </w:r>
      <w:r w:rsidR="00F242F5" w:rsidRPr="000D0F1F">
        <w:rPr>
          <w:bCs/>
          <w:iCs/>
          <w:szCs w:val="24"/>
          <w:shd w:val="clear" w:color="auto" w:fill="FFFFFF"/>
        </w:rPr>
        <w:t xml:space="preserve"> critically </w:t>
      </w:r>
      <w:r w:rsidR="007C11D6" w:rsidRPr="000D0F1F">
        <w:rPr>
          <w:bCs/>
          <w:iCs/>
          <w:szCs w:val="24"/>
          <w:shd w:val="clear" w:color="auto" w:fill="FFFFFF"/>
        </w:rPr>
        <w:t>scrutinizing</w:t>
      </w:r>
      <w:r w:rsidR="00F242F5" w:rsidRPr="000D0F1F">
        <w:rPr>
          <w:bCs/>
          <w:iCs/>
          <w:szCs w:val="24"/>
          <w:shd w:val="clear" w:color="auto" w:fill="FFFFFF"/>
        </w:rPr>
        <w:t xml:space="preserve"> the state’s decision </w:t>
      </w:r>
      <w:r w:rsidR="007C11D6" w:rsidRPr="000D0F1F">
        <w:rPr>
          <w:bCs/>
          <w:iCs/>
          <w:szCs w:val="24"/>
          <w:shd w:val="clear" w:color="auto" w:fill="FFFFFF"/>
        </w:rPr>
        <w:t>to determine whether it infringed on the rights of immigrant children</w:t>
      </w:r>
      <w:r w:rsidR="00584213" w:rsidRPr="000D0F1F">
        <w:rPr>
          <w:bCs/>
          <w:iCs/>
          <w:szCs w:val="24"/>
          <w:shd w:val="clear" w:color="auto" w:fill="FFFFFF"/>
        </w:rPr>
        <w:t xml:space="preserve"> or not</w:t>
      </w:r>
      <w:r w:rsidR="007C11D6" w:rsidRPr="000D0F1F">
        <w:rPr>
          <w:bCs/>
          <w:iCs/>
          <w:szCs w:val="24"/>
          <w:shd w:val="clear" w:color="auto" w:fill="FFFFFF"/>
        </w:rPr>
        <w:t>. The majority of courts ruled that the protection clause appl</w:t>
      </w:r>
      <w:r w:rsidR="00584213" w:rsidRPr="000D0F1F">
        <w:rPr>
          <w:bCs/>
          <w:iCs/>
          <w:szCs w:val="24"/>
          <w:shd w:val="clear" w:color="auto" w:fill="FFFFFF"/>
        </w:rPr>
        <w:t>ies</w:t>
      </w:r>
      <w:r w:rsidR="007C11D6" w:rsidRPr="000D0F1F">
        <w:rPr>
          <w:bCs/>
          <w:iCs/>
          <w:szCs w:val="24"/>
          <w:shd w:val="clear" w:color="auto" w:fill="FFFFFF"/>
        </w:rPr>
        <w:t xml:space="preserve"> to all immigrants regardless of legality status. In light of the above, the paper will illustrate the rationale of the court's decision against the state's dictations towards the provision of education services to immigrant children.     </w:t>
      </w:r>
    </w:p>
    <w:p w:rsidR="00105C66" w:rsidRPr="000D0F1F" w:rsidRDefault="00EA16DD" w:rsidP="000D0F1F">
      <w:pPr>
        <w:spacing w:after="0" w:line="480" w:lineRule="auto"/>
        <w:ind w:firstLine="720"/>
        <w:rPr>
          <w:szCs w:val="24"/>
        </w:rPr>
      </w:pPr>
      <w:r w:rsidRPr="000D0F1F">
        <w:rPr>
          <w:szCs w:val="24"/>
        </w:rPr>
        <w:t xml:space="preserve">Equal </w:t>
      </w:r>
      <w:r w:rsidR="007C11D6" w:rsidRPr="000D0F1F">
        <w:rPr>
          <w:szCs w:val="24"/>
        </w:rPr>
        <w:t>protection clause for</w:t>
      </w:r>
      <w:r w:rsidRPr="000D0F1F">
        <w:rPr>
          <w:szCs w:val="24"/>
        </w:rPr>
        <w:t xml:space="preserve"> legal migrants</w:t>
      </w:r>
      <w:r w:rsidR="007C11D6" w:rsidRPr="000D0F1F">
        <w:rPr>
          <w:szCs w:val="24"/>
        </w:rPr>
        <w:t xml:space="preserve"> was among</w:t>
      </w:r>
      <w:r w:rsidR="008152CF" w:rsidRPr="000D0F1F">
        <w:rPr>
          <w:szCs w:val="24"/>
        </w:rPr>
        <w:t xml:space="preserve"> the significant aspects to consider. Notably, the court should have utilized the propositions of the clause to defend the rights of innocent kids</w:t>
      </w:r>
      <w:r w:rsidR="00B703FD" w:rsidRPr="000D0F1F">
        <w:rPr>
          <w:szCs w:val="24"/>
        </w:rPr>
        <w:t xml:space="preserve"> (</w:t>
      </w:r>
      <w:r w:rsidR="00B703FD" w:rsidRPr="000D0F1F">
        <w:rPr>
          <w:szCs w:val="24"/>
          <w:shd w:val="clear" w:color="auto" w:fill="FFFFFF"/>
        </w:rPr>
        <w:t>Allman &amp; Slavin, 2018)</w:t>
      </w:r>
      <w:r w:rsidR="008152CF" w:rsidRPr="000D0F1F">
        <w:rPr>
          <w:szCs w:val="24"/>
        </w:rPr>
        <w:t>. The 14</w:t>
      </w:r>
      <w:r w:rsidR="008152CF" w:rsidRPr="000D0F1F">
        <w:rPr>
          <w:szCs w:val="24"/>
          <w:vertAlign w:val="superscript"/>
        </w:rPr>
        <w:t xml:space="preserve">th </w:t>
      </w:r>
      <w:r w:rsidR="008152CF" w:rsidRPr="000D0F1F">
        <w:rPr>
          <w:szCs w:val="24"/>
        </w:rPr>
        <w:t>amendment clause provides that the physically present immigrants, with</w:t>
      </w:r>
      <w:r w:rsidR="00584213" w:rsidRPr="000D0F1F">
        <w:rPr>
          <w:szCs w:val="24"/>
        </w:rPr>
        <w:t xml:space="preserve"> or without legal documentation</w:t>
      </w:r>
      <w:r w:rsidR="008152CF" w:rsidRPr="000D0F1F">
        <w:rPr>
          <w:szCs w:val="24"/>
        </w:rPr>
        <w:t xml:space="preserve">, in the U.S. have the right to protection from the state, provided </w:t>
      </w:r>
      <w:r w:rsidR="00584213" w:rsidRPr="000D0F1F">
        <w:rPr>
          <w:szCs w:val="24"/>
        </w:rPr>
        <w:t xml:space="preserve">that </w:t>
      </w:r>
      <w:r w:rsidR="008152CF" w:rsidRPr="000D0F1F">
        <w:rPr>
          <w:szCs w:val="24"/>
        </w:rPr>
        <w:t xml:space="preserve">they abode within the country’s jurisdiction. Based on the above highlights, it is evident that the protection clause can aid the court </w:t>
      </w:r>
      <w:r w:rsidRPr="000D0F1F">
        <w:rPr>
          <w:szCs w:val="24"/>
        </w:rPr>
        <w:t xml:space="preserve">in protecting the rights of an immigrant juvenile. </w:t>
      </w:r>
    </w:p>
    <w:p w:rsidR="00105C66" w:rsidRPr="000D0F1F" w:rsidRDefault="00EA16DD" w:rsidP="000D0F1F">
      <w:pPr>
        <w:spacing w:after="0" w:line="480" w:lineRule="auto"/>
        <w:ind w:firstLine="720"/>
        <w:rPr>
          <w:szCs w:val="24"/>
        </w:rPr>
      </w:pPr>
      <w:r w:rsidRPr="000D0F1F">
        <w:rPr>
          <w:szCs w:val="24"/>
        </w:rPr>
        <w:t>Imposing rules meant to bar immigrant children from accessing education services is nothing short of discrimination. Notably, the state’s decision could impact the lives of victims adversel</w:t>
      </w:r>
      <w:r w:rsidRPr="000D0F1F">
        <w:rPr>
          <w:szCs w:val="24"/>
        </w:rPr>
        <w:t>y</w:t>
      </w:r>
      <w:r w:rsidR="00E50E47" w:rsidRPr="000D0F1F">
        <w:rPr>
          <w:szCs w:val="24"/>
        </w:rPr>
        <w:t>, ranging from sadness to guilt and anxiety to depression</w:t>
      </w:r>
      <w:r w:rsidR="00B703FD" w:rsidRPr="000D0F1F">
        <w:rPr>
          <w:szCs w:val="24"/>
        </w:rPr>
        <w:t xml:space="preserve"> (</w:t>
      </w:r>
      <w:r w:rsidR="00B703FD" w:rsidRPr="000D0F1F">
        <w:rPr>
          <w:szCs w:val="24"/>
          <w:shd w:val="clear" w:color="auto" w:fill="FFFFFF"/>
        </w:rPr>
        <w:t>Eyles, 2018)</w:t>
      </w:r>
      <w:r w:rsidR="00E50E47" w:rsidRPr="000D0F1F">
        <w:rPr>
          <w:szCs w:val="24"/>
        </w:rPr>
        <w:t>. It</w:t>
      </w:r>
      <w:r w:rsidR="000D0F1F">
        <w:rPr>
          <w:szCs w:val="24"/>
        </w:rPr>
        <w:t xml:space="preserve"> is</w:t>
      </w:r>
      <w:r w:rsidR="00E50E47" w:rsidRPr="000D0F1F">
        <w:rPr>
          <w:szCs w:val="24"/>
        </w:rPr>
        <w:t xml:space="preserve"> essential for the </w:t>
      </w:r>
      <w:r w:rsidR="00677F3A" w:rsidRPr="000D0F1F">
        <w:rPr>
          <w:szCs w:val="24"/>
        </w:rPr>
        <w:t>court to fight</w:t>
      </w:r>
      <w:r w:rsidR="00E50E47" w:rsidRPr="000D0F1F">
        <w:rPr>
          <w:szCs w:val="24"/>
        </w:rPr>
        <w:t xml:space="preserve"> for children’s rights since education discrimination will trigger victimization and harassment, thereby leaving the minor</w:t>
      </w:r>
      <w:r w:rsidR="000D0F1F">
        <w:rPr>
          <w:szCs w:val="24"/>
        </w:rPr>
        <w:t>s broken and</w:t>
      </w:r>
      <w:r w:rsidR="00E50E47" w:rsidRPr="000D0F1F">
        <w:rPr>
          <w:szCs w:val="24"/>
        </w:rPr>
        <w:t xml:space="preserve"> confused</w:t>
      </w:r>
      <w:r w:rsidR="000D0F1F">
        <w:rPr>
          <w:szCs w:val="24"/>
        </w:rPr>
        <w:t xml:space="preserve"> </w:t>
      </w:r>
      <w:r w:rsidR="00B703FD" w:rsidRPr="000D0F1F">
        <w:rPr>
          <w:szCs w:val="24"/>
        </w:rPr>
        <w:t>(</w:t>
      </w:r>
      <w:r w:rsidR="00B703FD" w:rsidRPr="000D0F1F">
        <w:rPr>
          <w:szCs w:val="24"/>
          <w:shd w:val="clear" w:color="auto" w:fill="FFFFFF"/>
        </w:rPr>
        <w:t xml:space="preserve">Allman &amp; </w:t>
      </w:r>
      <w:r w:rsidR="00B703FD" w:rsidRPr="000D0F1F">
        <w:rPr>
          <w:szCs w:val="24"/>
          <w:shd w:val="clear" w:color="auto" w:fill="FFFFFF"/>
        </w:rPr>
        <w:lastRenderedPageBreak/>
        <w:t>Slavin, 2018)</w:t>
      </w:r>
      <w:r w:rsidR="00E50E47" w:rsidRPr="000D0F1F">
        <w:rPr>
          <w:szCs w:val="24"/>
        </w:rPr>
        <w:t xml:space="preserve">. Therefore, the court should base its argument on the adverse impacts of discrimination purposely to aid in attaining </w:t>
      </w:r>
      <w:r w:rsidR="00677F3A" w:rsidRPr="000D0F1F">
        <w:rPr>
          <w:szCs w:val="24"/>
        </w:rPr>
        <w:t>justice during the court’s</w:t>
      </w:r>
      <w:r w:rsidR="00E50E47" w:rsidRPr="000D0F1F">
        <w:rPr>
          <w:szCs w:val="24"/>
        </w:rPr>
        <w:t xml:space="preserve"> ruling.   </w:t>
      </w:r>
    </w:p>
    <w:p w:rsidR="006C43B9" w:rsidRPr="000D0F1F" w:rsidRDefault="00EA16DD" w:rsidP="000D0F1F">
      <w:pPr>
        <w:spacing w:after="0" w:line="480" w:lineRule="auto"/>
        <w:ind w:firstLine="720"/>
        <w:rPr>
          <w:szCs w:val="24"/>
        </w:rPr>
      </w:pPr>
      <w:r w:rsidRPr="000D0F1F">
        <w:rPr>
          <w:szCs w:val="24"/>
        </w:rPr>
        <w:t>Furthermore, the c</w:t>
      </w:r>
      <w:r w:rsidR="00E21803" w:rsidRPr="000D0F1F">
        <w:rPr>
          <w:szCs w:val="24"/>
        </w:rPr>
        <w:t xml:space="preserve">hildren have little control over the </w:t>
      </w:r>
      <w:r w:rsidR="004D5BCB" w:rsidRPr="000D0F1F">
        <w:rPr>
          <w:szCs w:val="24"/>
        </w:rPr>
        <w:t xml:space="preserve">parent’s </w:t>
      </w:r>
      <w:r w:rsidR="00E21803" w:rsidRPr="000D0F1F">
        <w:rPr>
          <w:szCs w:val="24"/>
        </w:rPr>
        <w:t>migration decision</w:t>
      </w:r>
      <w:r w:rsidR="004D5BCB" w:rsidRPr="000D0F1F">
        <w:rPr>
          <w:szCs w:val="24"/>
        </w:rPr>
        <w:t>. The children</w:t>
      </w:r>
      <w:r w:rsidR="00677F3A" w:rsidRPr="000D0F1F">
        <w:rPr>
          <w:szCs w:val="24"/>
        </w:rPr>
        <w:t xml:space="preserve"> are not worthy to </w:t>
      </w:r>
      <w:r w:rsidR="004D5BCB" w:rsidRPr="000D0F1F">
        <w:rPr>
          <w:szCs w:val="24"/>
        </w:rPr>
        <w:t>bear t</w:t>
      </w:r>
      <w:r w:rsidR="000B3CBB" w:rsidRPr="000D0F1F">
        <w:rPr>
          <w:szCs w:val="24"/>
        </w:rPr>
        <w:t>he fate of discriminatory policy</w:t>
      </w:r>
      <w:r w:rsidR="004D5BCB" w:rsidRPr="000D0F1F">
        <w:rPr>
          <w:szCs w:val="24"/>
        </w:rPr>
        <w:t xml:space="preserve"> since the migration decision came entirely from the guardian</w:t>
      </w:r>
      <w:r w:rsidR="00B703FD" w:rsidRPr="000D0F1F">
        <w:rPr>
          <w:szCs w:val="24"/>
        </w:rPr>
        <w:t xml:space="preserve"> (</w:t>
      </w:r>
      <w:r w:rsidR="00B703FD" w:rsidRPr="000D0F1F">
        <w:rPr>
          <w:szCs w:val="24"/>
          <w:shd w:val="clear" w:color="auto" w:fill="FFFFFF"/>
        </w:rPr>
        <w:t>Davis, 2018)</w:t>
      </w:r>
      <w:r w:rsidR="004D5BCB" w:rsidRPr="000D0F1F">
        <w:rPr>
          <w:szCs w:val="24"/>
        </w:rPr>
        <w:t>. Besides, the state's officials failed short of an informed decision</w:t>
      </w:r>
      <w:r w:rsidR="00677F3A" w:rsidRPr="000D0F1F">
        <w:rPr>
          <w:szCs w:val="24"/>
        </w:rPr>
        <w:t xml:space="preserve"> while </w:t>
      </w:r>
      <w:r w:rsidR="004D5BCB" w:rsidRPr="000D0F1F">
        <w:rPr>
          <w:szCs w:val="24"/>
        </w:rPr>
        <w:t>formulating the policy. Precisely, they did no</w:t>
      </w:r>
      <w:r w:rsidR="00DE1F5F" w:rsidRPr="000D0F1F">
        <w:rPr>
          <w:szCs w:val="24"/>
        </w:rPr>
        <w:t>t factor the ethics of virtues since the plan is not in line with the morals of acceptable working habits</w:t>
      </w:r>
      <w:r w:rsidR="000D0F1F">
        <w:rPr>
          <w:szCs w:val="24"/>
        </w:rPr>
        <w:t xml:space="preserve"> </w:t>
      </w:r>
      <w:r w:rsidR="00B703FD" w:rsidRPr="000D0F1F">
        <w:rPr>
          <w:szCs w:val="24"/>
        </w:rPr>
        <w:t>(</w:t>
      </w:r>
      <w:r w:rsidR="00B703FD" w:rsidRPr="000D0F1F">
        <w:rPr>
          <w:szCs w:val="24"/>
          <w:shd w:val="clear" w:color="auto" w:fill="FFFFFF"/>
        </w:rPr>
        <w:t>Allman &amp; Slavin, 2018)</w:t>
      </w:r>
      <w:r w:rsidR="00DE1F5F" w:rsidRPr="000D0F1F">
        <w:rPr>
          <w:szCs w:val="24"/>
        </w:rPr>
        <w:t>. The court should exercise its mandate effectively by denying</w:t>
      </w:r>
      <w:r w:rsidR="000E4434" w:rsidRPr="000D0F1F">
        <w:rPr>
          <w:szCs w:val="24"/>
        </w:rPr>
        <w:t xml:space="preserve"> children's participation in illegal migration. </w:t>
      </w:r>
    </w:p>
    <w:p w:rsidR="00F00932" w:rsidRPr="000D0F1F" w:rsidRDefault="00EA16DD" w:rsidP="000D0F1F">
      <w:pPr>
        <w:spacing w:after="0" w:line="480" w:lineRule="auto"/>
        <w:ind w:firstLine="720"/>
        <w:rPr>
          <w:szCs w:val="24"/>
        </w:rPr>
      </w:pPr>
      <w:r w:rsidRPr="000D0F1F">
        <w:rPr>
          <w:szCs w:val="24"/>
        </w:rPr>
        <w:t>Perpe</w:t>
      </w:r>
      <w:r w:rsidRPr="000D0F1F">
        <w:rPr>
          <w:szCs w:val="24"/>
        </w:rPr>
        <w:t>tuation and creation of illiterate sub-class</w:t>
      </w:r>
      <w:r w:rsidR="000E4434" w:rsidRPr="000D0F1F">
        <w:rPr>
          <w:szCs w:val="24"/>
        </w:rPr>
        <w:t xml:space="preserve"> is yet another aspect the court ca</w:t>
      </w:r>
      <w:r w:rsidR="000B3CBB" w:rsidRPr="000D0F1F">
        <w:rPr>
          <w:szCs w:val="24"/>
        </w:rPr>
        <w:t xml:space="preserve">n apply to defend the children. The discriminatory policy imposed by the </w:t>
      </w:r>
      <w:r w:rsidR="00677F3A" w:rsidRPr="000D0F1F">
        <w:rPr>
          <w:szCs w:val="24"/>
        </w:rPr>
        <w:t xml:space="preserve">state </w:t>
      </w:r>
      <w:r w:rsidR="000B3CBB" w:rsidRPr="000D0F1F">
        <w:rPr>
          <w:szCs w:val="24"/>
        </w:rPr>
        <w:t>could raise the level of illiteracy among immigrant children</w:t>
      </w:r>
      <w:r w:rsidR="000D0F1F">
        <w:rPr>
          <w:szCs w:val="24"/>
        </w:rPr>
        <w:t xml:space="preserve"> </w:t>
      </w:r>
      <w:r w:rsidR="00B703FD" w:rsidRPr="000D0F1F">
        <w:rPr>
          <w:szCs w:val="24"/>
        </w:rPr>
        <w:t>(</w:t>
      </w:r>
      <w:r w:rsidR="00B703FD" w:rsidRPr="000D0F1F">
        <w:rPr>
          <w:szCs w:val="24"/>
          <w:shd w:val="clear" w:color="auto" w:fill="FFFFFF"/>
        </w:rPr>
        <w:t>Davis, 2018)</w:t>
      </w:r>
      <w:r w:rsidR="000B3CBB" w:rsidRPr="000D0F1F">
        <w:rPr>
          <w:szCs w:val="24"/>
        </w:rPr>
        <w:t>. As a result, the court can base its argument on the significance of providing the minor</w:t>
      </w:r>
      <w:r w:rsidR="000D0F1F">
        <w:rPr>
          <w:szCs w:val="24"/>
        </w:rPr>
        <w:t>s</w:t>
      </w:r>
      <w:r w:rsidR="000B3CBB" w:rsidRPr="000D0F1F">
        <w:rPr>
          <w:szCs w:val="24"/>
        </w:rPr>
        <w:t xml:space="preserve"> with relevant education, which is the critical player in advancing literacy levels.</w:t>
      </w:r>
      <w:r w:rsidR="00544752" w:rsidRPr="000D0F1F">
        <w:rPr>
          <w:szCs w:val="24"/>
        </w:rPr>
        <w:t xml:space="preserve"> It is, however, worth noting that denying immigrant juvenile</w:t>
      </w:r>
      <w:r w:rsidR="000D0F1F">
        <w:rPr>
          <w:szCs w:val="24"/>
        </w:rPr>
        <w:t>s</w:t>
      </w:r>
      <w:r w:rsidR="00544752" w:rsidRPr="000D0F1F">
        <w:rPr>
          <w:szCs w:val="24"/>
        </w:rPr>
        <w:t xml:space="preserve"> access to education will promote u</w:t>
      </w:r>
      <w:r w:rsidRPr="000D0F1F">
        <w:rPr>
          <w:szCs w:val="24"/>
        </w:rPr>
        <w:t>nemployment,</w:t>
      </w:r>
      <w:r w:rsidRPr="000D0F1F">
        <w:rPr>
          <w:szCs w:val="24"/>
        </w:rPr>
        <w:t xml:space="preserve"> crime, and </w:t>
      </w:r>
      <w:r w:rsidR="00544752" w:rsidRPr="000D0F1F">
        <w:rPr>
          <w:szCs w:val="24"/>
        </w:rPr>
        <w:t xml:space="preserve">diminishing </w:t>
      </w:r>
      <w:r w:rsidRPr="000D0F1F">
        <w:rPr>
          <w:szCs w:val="24"/>
        </w:rPr>
        <w:t>welfare</w:t>
      </w:r>
      <w:r w:rsidR="00544752" w:rsidRPr="000D0F1F">
        <w:rPr>
          <w:szCs w:val="24"/>
        </w:rPr>
        <w:t>. Lack of access to basic amenities, including schooling, will lead to deteriorated</w:t>
      </w:r>
      <w:r w:rsidR="00677F3A" w:rsidRPr="000D0F1F">
        <w:rPr>
          <w:szCs w:val="24"/>
        </w:rPr>
        <w:t xml:space="preserve"> well-being,</w:t>
      </w:r>
      <w:r w:rsidR="000D0F1F">
        <w:rPr>
          <w:szCs w:val="24"/>
        </w:rPr>
        <w:t xml:space="preserve"> </w:t>
      </w:r>
      <w:r w:rsidRPr="000D0F1F">
        <w:rPr>
          <w:szCs w:val="24"/>
        </w:rPr>
        <w:t>health in addition to increased rates of unemployment</w:t>
      </w:r>
      <w:r w:rsidR="00B703FD" w:rsidRPr="000D0F1F">
        <w:rPr>
          <w:szCs w:val="24"/>
          <w:shd w:val="clear" w:color="auto" w:fill="FFFFFF"/>
        </w:rPr>
        <w:t>(Kooragayala, 2019)</w:t>
      </w:r>
      <w:r w:rsidRPr="000D0F1F">
        <w:rPr>
          <w:szCs w:val="24"/>
        </w:rPr>
        <w:t>. Therefore, the court should put more emphasis on express</w:t>
      </w:r>
      <w:r w:rsidRPr="000D0F1F">
        <w:rPr>
          <w:szCs w:val="24"/>
        </w:rPr>
        <w:t xml:space="preserve">ing the adverse effects of illiteracy among the youths to defend the juvenile.   </w:t>
      </w:r>
    </w:p>
    <w:p w:rsidR="00F00932" w:rsidRPr="000D0F1F" w:rsidRDefault="00F00932" w:rsidP="000D0F1F">
      <w:pPr>
        <w:spacing w:after="0" w:line="480" w:lineRule="auto"/>
        <w:ind w:firstLine="720"/>
        <w:jc w:val="center"/>
        <w:rPr>
          <w:szCs w:val="24"/>
        </w:rPr>
      </w:pPr>
    </w:p>
    <w:p w:rsidR="00B703FD" w:rsidRPr="000D0F1F" w:rsidRDefault="00B703FD" w:rsidP="000D0F1F">
      <w:pPr>
        <w:spacing w:after="0" w:line="480" w:lineRule="auto"/>
        <w:ind w:firstLine="720"/>
        <w:jc w:val="center"/>
        <w:rPr>
          <w:b/>
          <w:szCs w:val="24"/>
        </w:rPr>
      </w:pPr>
    </w:p>
    <w:p w:rsidR="00B703FD" w:rsidRPr="000D0F1F" w:rsidRDefault="00B703FD" w:rsidP="000D0F1F">
      <w:pPr>
        <w:spacing w:after="0" w:line="480" w:lineRule="auto"/>
        <w:ind w:firstLine="720"/>
        <w:jc w:val="center"/>
        <w:rPr>
          <w:b/>
          <w:szCs w:val="24"/>
        </w:rPr>
      </w:pPr>
    </w:p>
    <w:p w:rsidR="00250012" w:rsidRPr="000D0F1F" w:rsidRDefault="00250012" w:rsidP="000D0F1F">
      <w:pPr>
        <w:spacing w:after="0" w:line="480" w:lineRule="auto"/>
        <w:ind w:firstLine="720"/>
        <w:jc w:val="center"/>
        <w:rPr>
          <w:b/>
          <w:szCs w:val="24"/>
        </w:rPr>
      </w:pPr>
    </w:p>
    <w:p w:rsidR="00F00932" w:rsidRPr="000D0F1F" w:rsidRDefault="00EA16DD" w:rsidP="000D0F1F">
      <w:pPr>
        <w:spacing w:after="0" w:line="480" w:lineRule="auto"/>
        <w:ind w:firstLine="720"/>
        <w:rPr>
          <w:szCs w:val="24"/>
        </w:rPr>
      </w:pPr>
      <w:r w:rsidRPr="000D0F1F">
        <w:rPr>
          <w:szCs w:val="24"/>
        </w:rPr>
        <w:lastRenderedPageBreak/>
        <w:t>Overly, the case “</w:t>
      </w:r>
      <w:r w:rsidRPr="000D0F1F">
        <w:rPr>
          <w:bCs/>
          <w:i/>
          <w:iCs/>
          <w:szCs w:val="24"/>
          <w:shd w:val="clear" w:color="auto" w:fill="FFFFFF"/>
        </w:rPr>
        <w:t>Plyler v. Doe</w:t>
      </w:r>
      <w:r w:rsidRPr="000D0F1F">
        <w:rPr>
          <w:bCs/>
          <w:i/>
          <w:iCs/>
          <w:szCs w:val="24"/>
          <w:shd w:val="clear" w:color="auto" w:fill="FFFFFF"/>
        </w:rPr>
        <w:t>”</w:t>
      </w:r>
      <w:r w:rsidRPr="000D0F1F">
        <w:rPr>
          <w:bCs/>
          <w:iCs/>
          <w:szCs w:val="24"/>
          <w:shd w:val="clear" w:color="auto" w:fill="FFFFFF"/>
        </w:rPr>
        <w:t>of 1982</w:t>
      </w:r>
      <w:r w:rsidRPr="000D0F1F">
        <w:rPr>
          <w:bCs/>
          <w:iCs/>
          <w:szCs w:val="24"/>
          <w:shd w:val="clear" w:color="auto" w:fill="FFFFFF"/>
        </w:rPr>
        <w:t xml:space="preserve"> is among those issues that demand an immediate intervention to protect the rights of </w:t>
      </w:r>
      <w:r w:rsidR="00467DD2" w:rsidRPr="000D0F1F">
        <w:rPr>
          <w:bCs/>
          <w:iCs/>
          <w:szCs w:val="24"/>
          <w:shd w:val="clear" w:color="auto" w:fill="FFFFFF"/>
        </w:rPr>
        <w:t>children in the United States. The court can utilize various considerations</w:t>
      </w:r>
      <w:r w:rsidR="000D0F1F">
        <w:rPr>
          <w:bCs/>
          <w:iCs/>
          <w:szCs w:val="24"/>
          <w:shd w:val="clear" w:color="auto" w:fill="FFFFFF"/>
        </w:rPr>
        <w:t xml:space="preserve"> geared towards attaining a fair</w:t>
      </w:r>
      <w:r w:rsidR="00467DD2" w:rsidRPr="000D0F1F">
        <w:rPr>
          <w:bCs/>
          <w:iCs/>
          <w:szCs w:val="24"/>
          <w:shd w:val="clear" w:color="auto" w:fill="FFFFFF"/>
        </w:rPr>
        <w:t xml:space="preserve"> ruling of the above case. They include the use of </w:t>
      </w:r>
      <w:r w:rsidR="00467DD2" w:rsidRPr="000D0F1F">
        <w:rPr>
          <w:szCs w:val="24"/>
        </w:rPr>
        <w:t>equal protection clause for legal migrants, discouraging of discrimination, children's lack of control of migration decisions, and increased level</w:t>
      </w:r>
      <w:r w:rsidR="00584213" w:rsidRPr="000D0F1F">
        <w:rPr>
          <w:szCs w:val="24"/>
        </w:rPr>
        <w:t>s</w:t>
      </w:r>
      <w:r w:rsidR="00467DD2" w:rsidRPr="000D0F1F">
        <w:rPr>
          <w:szCs w:val="24"/>
        </w:rPr>
        <w:t xml:space="preserve"> of unemployment. </w:t>
      </w:r>
    </w:p>
    <w:p w:rsidR="00E21803" w:rsidRPr="000D0F1F" w:rsidRDefault="00E21803" w:rsidP="000D0F1F">
      <w:pPr>
        <w:spacing w:after="0" w:line="480" w:lineRule="auto"/>
        <w:rPr>
          <w:szCs w:val="24"/>
        </w:rPr>
      </w:pPr>
    </w:p>
    <w:p w:rsidR="00677F3A" w:rsidRPr="000D0F1F" w:rsidRDefault="00677F3A" w:rsidP="000D0F1F">
      <w:pPr>
        <w:spacing w:after="0" w:line="480" w:lineRule="auto"/>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D37721" w:rsidRPr="000D0F1F" w:rsidRDefault="00D37721" w:rsidP="000D0F1F">
      <w:pPr>
        <w:spacing w:after="0" w:line="480" w:lineRule="auto"/>
        <w:jc w:val="center"/>
        <w:rPr>
          <w:szCs w:val="24"/>
        </w:rPr>
      </w:pPr>
    </w:p>
    <w:p w:rsidR="00677F3A" w:rsidRPr="000D0F1F" w:rsidRDefault="00EA16DD" w:rsidP="000D0F1F">
      <w:pPr>
        <w:spacing w:after="0" w:line="480" w:lineRule="auto"/>
        <w:jc w:val="center"/>
        <w:rPr>
          <w:szCs w:val="24"/>
        </w:rPr>
      </w:pPr>
      <w:r w:rsidRPr="000D0F1F">
        <w:rPr>
          <w:szCs w:val="24"/>
        </w:rPr>
        <w:t>References</w:t>
      </w:r>
    </w:p>
    <w:p w:rsidR="00B703FD" w:rsidRPr="000D0F1F" w:rsidRDefault="00EA16DD" w:rsidP="000D0F1F">
      <w:pPr>
        <w:spacing w:after="0" w:line="480" w:lineRule="auto"/>
        <w:rPr>
          <w:szCs w:val="24"/>
          <w:shd w:val="clear" w:color="auto" w:fill="FFFFFF"/>
        </w:rPr>
      </w:pPr>
      <w:r w:rsidRPr="000D0F1F">
        <w:rPr>
          <w:szCs w:val="24"/>
          <w:shd w:val="clear" w:color="auto" w:fill="FFFFFF"/>
        </w:rPr>
        <w:t xml:space="preserve">Allman, K. R., &amp; Slavin, R. E. (2018). Immigration in 2018: What is a teacher educator to </w:t>
      </w:r>
    </w:p>
    <w:p w:rsidR="00677F3A" w:rsidRPr="000D0F1F" w:rsidRDefault="00EA16DD" w:rsidP="000D0F1F">
      <w:pPr>
        <w:spacing w:after="0" w:line="480" w:lineRule="auto"/>
        <w:ind w:firstLine="720"/>
        <w:rPr>
          <w:szCs w:val="24"/>
          <w:shd w:val="clear" w:color="auto" w:fill="FFFFFF"/>
        </w:rPr>
      </w:pPr>
      <w:r w:rsidRPr="000D0F1F">
        <w:rPr>
          <w:szCs w:val="24"/>
          <w:shd w:val="clear" w:color="auto" w:fill="FFFFFF"/>
        </w:rPr>
        <w:t>do?. </w:t>
      </w:r>
      <w:r w:rsidRPr="000D0F1F">
        <w:rPr>
          <w:i/>
          <w:iCs/>
          <w:szCs w:val="24"/>
          <w:shd w:val="clear" w:color="auto" w:fill="FFFFFF"/>
        </w:rPr>
        <w:t>The Teacher Educator</w:t>
      </w:r>
      <w:r w:rsidRPr="000D0F1F">
        <w:rPr>
          <w:szCs w:val="24"/>
          <w:shd w:val="clear" w:color="auto" w:fill="FFFFFF"/>
        </w:rPr>
        <w:t>, </w:t>
      </w:r>
      <w:r w:rsidRPr="000D0F1F">
        <w:rPr>
          <w:i/>
          <w:iCs/>
          <w:szCs w:val="24"/>
          <w:shd w:val="clear" w:color="auto" w:fill="FFFFFF"/>
        </w:rPr>
        <w:t>53</w:t>
      </w:r>
      <w:r w:rsidRPr="000D0F1F">
        <w:rPr>
          <w:szCs w:val="24"/>
          <w:shd w:val="clear" w:color="auto" w:fill="FFFFFF"/>
        </w:rPr>
        <w:t>(3), 236-243.</w:t>
      </w:r>
    </w:p>
    <w:p w:rsidR="00D37721" w:rsidRPr="000D0F1F" w:rsidRDefault="00EA16DD" w:rsidP="000D0F1F">
      <w:pPr>
        <w:spacing w:after="0" w:line="480" w:lineRule="auto"/>
        <w:rPr>
          <w:szCs w:val="24"/>
          <w:shd w:val="clear" w:color="auto" w:fill="FFFFFF"/>
        </w:rPr>
      </w:pPr>
      <w:r w:rsidRPr="000D0F1F">
        <w:rPr>
          <w:szCs w:val="24"/>
          <w:shd w:val="clear" w:color="auto" w:fill="FFFFFF"/>
        </w:rPr>
        <w:t xml:space="preserve">Davis, M. F. (2018). </w:t>
      </w:r>
      <w:r w:rsidRPr="000D0F1F">
        <w:rPr>
          <w:szCs w:val="24"/>
          <w:shd w:val="clear" w:color="auto" w:fill="FFFFFF"/>
        </w:rPr>
        <w:t>Immigration Enforcement and Children’s Human Right to Education.</w:t>
      </w:r>
    </w:p>
    <w:p w:rsidR="00D37721" w:rsidRPr="000D0F1F" w:rsidRDefault="00EA16DD" w:rsidP="000D0F1F">
      <w:pPr>
        <w:spacing w:after="0" w:line="480" w:lineRule="auto"/>
        <w:rPr>
          <w:szCs w:val="24"/>
          <w:shd w:val="clear" w:color="auto" w:fill="FFFFFF"/>
        </w:rPr>
      </w:pPr>
      <w:r w:rsidRPr="000D0F1F">
        <w:rPr>
          <w:szCs w:val="24"/>
          <w:shd w:val="clear" w:color="auto" w:fill="FFFFFF"/>
        </w:rPr>
        <w:t xml:space="preserve">Eyles, R. (2018). To what extent is Plyler v. Doe an effective protection for the right to education </w:t>
      </w:r>
    </w:p>
    <w:p w:rsidR="00677F3A" w:rsidRPr="000D0F1F" w:rsidRDefault="00EA16DD" w:rsidP="000D0F1F">
      <w:pPr>
        <w:spacing w:after="0" w:line="480" w:lineRule="auto"/>
        <w:ind w:left="720"/>
        <w:rPr>
          <w:szCs w:val="24"/>
          <w:shd w:val="clear" w:color="auto" w:fill="FFFFFF"/>
        </w:rPr>
      </w:pPr>
      <w:r w:rsidRPr="000D0F1F">
        <w:rPr>
          <w:szCs w:val="24"/>
          <w:shd w:val="clear" w:color="auto" w:fill="FFFFFF"/>
        </w:rPr>
        <w:lastRenderedPageBreak/>
        <w:t xml:space="preserve">for irregular migrant children in contemporary U.S. </w:t>
      </w:r>
      <w:r w:rsidRPr="000D0F1F">
        <w:rPr>
          <w:i/>
          <w:iCs/>
          <w:szCs w:val="24"/>
          <w:shd w:val="clear" w:color="auto" w:fill="FFFFFF"/>
        </w:rPr>
        <w:t>Studies in law, politics, and society</w:t>
      </w:r>
      <w:r w:rsidRPr="000D0F1F">
        <w:rPr>
          <w:szCs w:val="24"/>
          <w:shd w:val="clear" w:color="auto" w:fill="FFFFFF"/>
        </w:rPr>
        <w:t>, 1-24.</w:t>
      </w:r>
    </w:p>
    <w:p w:rsidR="00D37721" w:rsidRPr="000D0F1F" w:rsidRDefault="00EA16DD" w:rsidP="000D0F1F">
      <w:pPr>
        <w:spacing w:after="0" w:line="480" w:lineRule="auto"/>
        <w:rPr>
          <w:szCs w:val="24"/>
          <w:shd w:val="clear" w:color="auto" w:fill="FFFFFF"/>
        </w:rPr>
      </w:pPr>
      <w:r w:rsidRPr="000D0F1F">
        <w:rPr>
          <w:szCs w:val="24"/>
          <w:shd w:val="clear" w:color="auto" w:fill="FFFFFF"/>
        </w:rPr>
        <w:t xml:space="preserve">Kooragayala, S. (2019). Preschool for All: Plyler V. Doe in The Context of Early Childhood </w:t>
      </w:r>
    </w:p>
    <w:p w:rsidR="00677F3A" w:rsidRPr="000D0F1F" w:rsidRDefault="00EA16DD" w:rsidP="000D0F1F">
      <w:pPr>
        <w:spacing w:after="0" w:line="480" w:lineRule="auto"/>
        <w:ind w:firstLine="720"/>
        <w:rPr>
          <w:szCs w:val="24"/>
        </w:rPr>
      </w:pPr>
      <w:r w:rsidRPr="000D0F1F">
        <w:rPr>
          <w:szCs w:val="24"/>
          <w:shd w:val="clear" w:color="auto" w:fill="FFFFFF"/>
        </w:rPr>
        <w:t>Education. </w:t>
      </w:r>
      <w:r w:rsidRPr="000D0F1F">
        <w:rPr>
          <w:i/>
          <w:iCs/>
          <w:szCs w:val="24"/>
          <w:shd w:val="clear" w:color="auto" w:fill="FFFFFF"/>
        </w:rPr>
        <w:t>Nw. J.L. &amp; Soc. Pol'y</w:t>
      </w:r>
      <w:r w:rsidRPr="000D0F1F">
        <w:rPr>
          <w:szCs w:val="24"/>
          <w:shd w:val="clear" w:color="auto" w:fill="FFFFFF"/>
        </w:rPr>
        <w:t>, </w:t>
      </w:r>
      <w:r w:rsidRPr="000D0F1F">
        <w:rPr>
          <w:i/>
          <w:iCs/>
          <w:szCs w:val="24"/>
          <w:shd w:val="clear" w:color="auto" w:fill="FFFFFF"/>
        </w:rPr>
        <w:t>15</w:t>
      </w:r>
      <w:r w:rsidRPr="000D0F1F">
        <w:rPr>
          <w:szCs w:val="24"/>
          <w:shd w:val="clear" w:color="auto" w:fill="FFFFFF"/>
        </w:rPr>
        <w:t>, 98.</w:t>
      </w:r>
    </w:p>
    <w:sectPr w:rsidR="00677F3A" w:rsidRPr="000D0F1F" w:rsidSect="00B703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6DD" w:rsidRDefault="00EA16DD" w:rsidP="00BA0F02">
      <w:pPr>
        <w:spacing w:after="0" w:line="240" w:lineRule="auto"/>
      </w:pPr>
      <w:r>
        <w:separator/>
      </w:r>
    </w:p>
  </w:endnote>
  <w:endnote w:type="continuationSeparator" w:id="1">
    <w:p w:rsidR="00EA16DD" w:rsidRDefault="00EA16DD" w:rsidP="00BA0F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6DD" w:rsidRDefault="00EA16DD" w:rsidP="00BA0F02">
      <w:pPr>
        <w:spacing w:after="0" w:line="240" w:lineRule="auto"/>
      </w:pPr>
      <w:r>
        <w:separator/>
      </w:r>
    </w:p>
  </w:footnote>
  <w:footnote w:type="continuationSeparator" w:id="1">
    <w:p w:rsidR="00EA16DD" w:rsidRDefault="00EA16DD" w:rsidP="00BA0F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968863"/>
      <w:docPartObj>
        <w:docPartGallery w:val="Page Numbers (Top of Page)"/>
        <w:docPartUnique/>
      </w:docPartObj>
    </w:sdtPr>
    <w:sdtEndPr>
      <w:rPr>
        <w:noProof/>
      </w:rPr>
    </w:sdtEndPr>
    <w:sdtContent>
      <w:p w:rsidR="00B703FD" w:rsidRDefault="00EA16DD" w:rsidP="00B703FD">
        <w:pPr>
          <w:pStyle w:val="Header"/>
        </w:pPr>
        <w:r>
          <w:t xml:space="preserve">PLYLER V. DOE                                   </w:t>
        </w:r>
        <w:r>
          <w:t xml:space="preserve">                                                                                     </w:t>
        </w:r>
        <w:r w:rsidR="00BA0F02">
          <w:fldChar w:fldCharType="begin"/>
        </w:r>
        <w:r>
          <w:instrText xml:space="preserve"> PAGE   \* MERGEFORMAT </w:instrText>
        </w:r>
        <w:r w:rsidR="00BA0F02">
          <w:fldChar w:fldCharType="separate"/>
        </w:r>
        <w:r w:rsidR="000D0F1F">
          <w:rPr>
            <w:noProof/>
          </w:rPr>
          <w:t>2</w:t>
        </w:r>
        <w:r w:rsidR="00BA0F02">
          <w:rPr>
            <w:noProof/>
          </w:rPr>
          <w:fldChar w:fldCharType="end"/>
        </w:r>
      </w:p>
    </w:sdtContent>
  </w:sdt>
  <w:p w:rsidR="00B703FD" w:rsidRDefault="00B703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5480382"/>
      <w:docPartObj>
        <w:docPartGallery w:val="Page Numbers (Top of Page)"/>
        <w:docPartUnique/>
      </w:docPartObj>
    </w:sdtPr>
    <w:sdtEndPr>
      <w:rPr>
        <w:noProof/>
      </w:rPr>
    </w:sdtEndPr>
    <w:sdtContent>
      <w:p w:rsidR="00B703FD" w:rsidRDefault="00EA16DD" w:rsidP="00B703FD">
        <w:pPr>
          <w:pStyle w:val="Header"/>
        </w:pPr>
        <w:r>
          <w:t xml:space="preserve">Running head: PLYLER V. DOE                               </w:t>
        </w:r>
        <w:r w:rsidR="00BA0F02">
          <w:fldChar w:fldCharType="begin"/>
        </w:r>
        <w:r>
          <w:instrText xml:space="preserve"> PAGE   \* MERGEFORMAT </w:instrText>
        </w:r>
        <w:r w:rsidR="00BA0F02">
          <w:fldChar w:fldCharType="separate"/>
        </w:r>
        <w:r w:rsidR="000D0F1F">
          <w:rPr>
            <w:noProof/>
          </w:rPr>
          <w:t>1</w:t>
        </w:r>
        <w:r w:rsidR="00BA0F02">
          <w:rPr>
            <w:noProof/>
          </w:rPr>
          <w:fldChar w:fldCharType="end"/>
        </w:r>
      </w:p>
    </w:sdtContent>
  </w:sdt>
  <w:p w:rsidR="00B703FD" w:rsidRDefault="00B703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4823"/>
    <w:rsid w:val="000B3CBB"/>
    <w:rsid w:val="000D0F1F"/>
    <w:rsid w:val="000E4434"/>
    <w:rsid w:val="00105C66"/>
    <w:rsid w:val="00250012"/>
    <w:rsid w:val="00467DD2"/>
    <w:rsid w:val="004D5BCB"/>
    <w:rsid w:val="00544752"/>
    <w:rsid w:val="00584213"/>
    <w:rsid w:val="00644823"/>
    <w:rsid w:val="00677F3A"/>
    <w:rsid w:val="00680AB3"/>
    <w:rsid w:val="006C43B9"/>
    <w:rsid w:val="007324C7"/>
    <w:rsid w:val="007C11D6"/>
    <w:rsid w:val="008152CF"/>
    <w:rsid w:val="00825825"/>
    <w:rsid w:val="00B703FD"/>
    <w:rsid w:val="00BA0F02"/>
    <w:rsid w:val="00D37721"/>
    <w:rsid w:val="00DC4B46"/>
    <w:rsid w:val="00DE1F5F"/>
    <w:rsid w:val="00E21803"/>
    <w:rsid w:val="00E50E47"/>
    <w:rsid w:val="00EA16DD"/>
    <w:rsid w:val="00F00932"/>
    <w:rsid w:val="00F242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3FD"/>
  </w:style>
  <w:style w:type="paragraph" w:styleId="Footer">
    <w:name w:val="footer"/>
    <w:basedOn w:val="Normal"/>
    <w:link w:val="FooterChar"/>
    <w:uiPriority w:val="99"/>
    <w:unhideWhenUsed/>
    <w:rsid w:val="00B70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3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2020-02-22T15:08:00Z</dcterms:created>
  <dcterms:modified xsi:type="dcterms:W3CDTF">2020-02-22T15:08:00Z</dcterms:modified>
</cp:coreProperties>
</file>